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F3A" w:rsidRDefault="004814EE" w:rsidP="004814EE">
      <w:pPr>
        <w:spacing w:line="240" w:lineRule="auto"/>
        <w:jc w:val="both"/>
      </w:pPr>
      <w:bookmarkStart w:id="0" w:name="_GoBack"/>
      <w:bookmarkEnd w:id="0"/>
      <w:r>
        <w:rPr>
          <w:rFonts w:ascii="Times New Roman" w:eastAsia="Times New Roman" w:hAnsi="Times New Roman" w:cs="Times New Roman"/>
          <w:sz w:val="20"/>
          <w:szCs w:val="20"/>
        </w:rPr>
        <w:t xml:space="preserve">Pour ce numéro 15 de </w:t>
      </w:r>
      <w:r>
        <w:rPr>
          <w:rFonts w:ascii="Times New Roman" w:eastAsia="Times New Roman" w:hAnsi="Times New Roman" w:cs="Times New Roman"/>
          <w:i/>
          <w:sz w:val="20"/>
          <w:szCs w:val="20"/>
        </w:rPr>
        <w:t>Synergies Chili</w:t>
      </w:r>
      <w:r>
        <w:rPr>
          <w:rFonts w:ascii="Times New Roman" w:eastAsia="Times New Roman" w:hAnsi="Times New Roman" w:cs="Times New Roman"/>
          <w:sz w:val="20"/>
          <w:szCs w:val="20"/>
        </w:rPr>
        <w:t xml:space="preserve">, que nous avons intitulé </w:t>
      </w:r>
      <w:r>
        <w:rPr>
          <w:rFonts w:ascii="Times New Roman" w:eastAsia="Times New Roman" w:hAnsi="Times New Roman" w:cs="Times New Roman"/>
          <w:i/>
          <w:sz w:val="20"/>
          <w:szCs w:val="20"/>
        </w:rPr>
        <w:t xml:space="preserve">Quand les ruptures sociétales obligent à réinventer une ouverture interculturelle continuelle…, </w:t>
      </w:r>
      <w:r w:rsidRPr="004814EE">
        <w:rPr>
          <w:rFonts w:ascii="Times New Roman" w:eastAsia="Times New Roman" w:hAnsi="Times New Roman" w:cs="Times New Roman"/>
          <w:sz w:val="20"/>
          <w:szCs w:val="20"/>
        </w:rPr>
        <w:t xml:space="preserve">nous </w:t>
      </w:r>
      <w:r>
        <w:rPr>
          <w:rFonts w:ascii="Times New Roman" w:eastAsia="Times New Roman" w:hAnsi="Times New Roman" w:cs="Times New Roman"/>
          <w:sz w:val="20"/>
          <w:szCs w:val="20"/>
        </w:rPr>
        <w:t xml:space="preserve">avons noté une convergence autour de certains axes, comme l’idée de rupture sociétale, le concept d'interculturalité ou la description critique de la réalité chilienne. En effet, la plupart des articles semblent évoquer un changement de la donne sociale et esquissent une réponse à ce bouleversement. Ce réajustement social prend souvent la forme d’une ouverture vers l’autre qui se matérialise par le concept d’interculturalité déjà évoqué, analysé ou discuté dans de précédents numéros de </w:t>
      </w:r>
      <w:r>
        <w:rPr>
          <w:rFonts w:ascii="Times New Roman" w:eastAsia="Times New Roman" w:hAnsi="Times New Roman" w:cs="Times New Roman"/>
          <w:i/>
          <w:sz w:val="20"/>
          <w:szCs w:val="20"/>
        </w:rPr>
        <w:t>Synergies Chili</w:t>
      </w:r>
      <w:r>
        <w:rPr>
          <w:rFonts w:ascii="Times New Roman" w:eastAsia="Times New Roman" w:hAnsi="Times New Roman" w:cs="Times New Roman"/>
          <w:sz w:val="20"/>
          <w:szCs w:val="20"/>
        </w:rPr>
        <w:t>. Dans d’autres contributions, la rupture est en quelque sorte, désirée et la conscience d’un changement nécessaire fait écho à la description et à l’analyse de la situation actuelle. Finalement, ces articles ont en commun de traiter, pour la plupart, des bouleversements sociétaux vécus par le Chili et ses institutions, notamment ces dernières années.</w:t>
      </w:r>
    </w:p>
    <w:sectPr w:rsidR="00086F3A"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EE"/>
    <w:rsid w:val="00086F3A"/>
    <w:rsid w:val="004814EE"/>
    <w:rsid w:val="0068673B"/>
    <w:rsid w:val="00C2061E"/>
    <w:rsid w:val="00D64F79"/>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8C6F5-76A5-4796-8854-EFF0E676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866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2019-06-28T09:44:00Z</dcterms:created>
  <dcterms:modified xsi:type="dcterms:W3CDTF">2019-06-28T09:44:00Z</dcterms:modified>
</cp:coreProperties>
</file>